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4E7B" w14:textId="77777777" w:rsidR="008E0ED9" w:rsidRDefault="008E0ED9" w:rsidP="00232CE8">
      <w:pPr>
        <w:pStyle w:val="TextBarrierefrei"/>
        <w:spacing w:after="240"/>
      </w:pPr>
    </w:p>
    <w:p w14:paraId="0F51A7EA" w14:textId="3366A0E5" w:rsidR="00232CE8" w:rsidRPr="00232CE8" w:rsidRDefault="00455984" w:rsidP="00232CE8">
      <w:pPr>
        <w:pStyle w:val="TextBarrierefrei"/>
        <w:spacing w:after="240"/>
      </w:pPr>
      <w:r>
        <w:t>Presseinformation</w:t>
      </w:r>
      <w:r w:rsidR="008E57C4">
        <w:t xml:space="preserve">, </w:t>
      </w:r>
      <w:r w:rsidR="009227BF">
        <w:t>20</w:t>
      </w:r>
      <w:r>
        <w:t>.0</w:t>
      </w:r>
      <w:r w:rsidR="004A02DC">
        <w:t>9</w:t>
      </w:r>
      <w:r>
        <w:t>.2021</w:t>
      </w:r>
    </w:p>
    <w:p w14:paraId="4AA377F3" w14:textId="7706C68C" w:rsidR="00232CE8" w:rsidRPr="00455984" w:rsidRDefault="009227BF" w:rsidP="00232CE8">
      <w:pPr>
        <w:pStyle w:val="1Barrierefrei"/>
        <w:rPr>
          <w:sz w:val="44"/>
          <w:szCs w:val="44"/>
        </w:rPr>
      </w:pPr>
      <w:r>
        <w:rPr>
          <w:sz w:val="44"/>
          <w:szCs w:val="44"/>
        </w:rPr>
        <w:t>Neues Programm unterstützt Energiegemeinschaften</w:t>
      </w:r>
    </w:p>
    <w:p w14:paraId="7C3D8B1A" w14:textId="4F7AE610" w:rsidR="00232CE8" w:rsidRDefault="00591183" w:rsidP="00232CE8">
      <w:pPr>
        <w:pStyle w:val="UntertitelBarrierefrei"/>
      </w:pPr>
      <w:r w:rsidRPr="00591183">
        <w:t>Die wichtigsten Eckdaten zum</w:t>
      </w:r>
      <w:r w:rsidR="009227BF">
        <w:t xml:space="preserve"> heutigen</w:t>
      </w:r>
      <w:r w:rsidRPr="00591183">
        <w:t xml:space="preserve"> Programmstart </w:t>
      </w:r>
    </w:p>
    <w:p w14:paraId="5EA4AD88" w14:textId="51568CE2" w:rsidR="00455984" w:rsidRPr="00983858" w:rsidRDefault="00455984" w:rsidP="00455984">
      <w:pPr>
        <w:pStyle w:val="TextBarrierefrei"/>
      </w:pPr>
      <w:r w:rsidRPr="0023648C">
        <w:t xml:space="preserve">Mit dem neuen Programm </w:t>
      </w:r>
      <w:r w:rsidR="0002468F">
        <w:t>wird der Aufbau von</w:t>
      </w:r>
      <w:r w:rsidRPr="0023648C">
        <w:t xml:space="preserve"> Energiegemeinschaften in Österreich gestärkt </w:t>
      </w:r>
      <w:r w:rsidR="0002468F">
        <w:t xml:space="preserve">– egal, ob diese schon kurz vor der Realisierung stehen oder gerade als Idee geboren wurden. </w:t>
      </w:r>
      <w:r w:rsidRPr="0023648C">
        <w:t xml:space="preserve">Ziel ist es, eine </w:t>
      </w:r>
      <w:r w:rsidRPr="00983858">
        <w:rPr>
          <w:b/>
          <w:bCs/>
        </w:rPr>
        <w:t>Initialzündung</w:t>
      </w:r>
      <w:r w:rsidRPr="0023648C">
        <w:t xml:space="preserve"> für eine breite Umsetzung zu setzen. </w:t>
      </w:r>
      <w:r>
        <w:t>Unterstützt werden</w:t>
      </w:r>
      <w:r w:rsidRPr="0023648C">
        <w:t xml:space="preserve"> daher bewusst Projekte, die als </w:t>
      </w:r>
      <w:r w:rsidRPr="00983858">
        <w:rPr>
          <w:b/>
          <w:bCs/>
        </w:rPr>
        <w:t>Vorbild</w:t>
      </w:r>
      <w:r w:rsidRPr="0023648C">
        <w:t xml:space="preserve"> dienen</w:t>
      </w:r>
      <w:r>
        <w:t xml:space="preserve"> und</w:t>
      </w:r>
      <w:r w:rsidRPr="0023648C">
        <w:t xml:space="preserve"> andere Personen, Gemeinden, Regionen und </w:t>
      </w:r>
      <w:r w:rsidRPr="00455984">
        <w:t xml:space="preserve">Projektentwickler zur </w:t>
      </w:r>
      <w:r w:rsidRPr="00983858">
        <w:rPr>
          <w:b/>
          <w:bCs/>
        </w:rPr>
        <w:t>Nachahmung</w:t>
      </w:r>
      <w:r w:rsidRPr="00455984">
        <w:t xml:space="preserve"> anregen. Die eingereichten Projekte sollen die Realisierbarkeit klar erkennen lassen, einen entsprechend</w:t>
      </w:r>
      <w:r w:rsidR="00983858">
        <w:t xml:space="preserve"> </w:t>
      </w:r>
      <w:r w:rsidR="00983858" w:rsidRPr="00983858">
        <w:rPr>
          <w:b/>
          <w:bCs/>
        </w:rPr>
        <w:t>hohen</w:t>
      </w:r>
      <w:r w:rsidRPr="00983858">
        <w:rPr>
          <w:b/>
          <w:bCs/>
        </w:rPr>
        <w:t xml:space="preserve"> Innovationsgrad</w:t>
      </w:r>
      <w:r w:rsidRPr="00455984">
        <w:t xml:space="preserve"> aufweisen</w:t>
      </w:r>
      <w:r>
        <w:t xml:space="preserve"> </w:t>
      </w:r>
      <w:r w:rsidRPr="00455984">
        <w:t>und ihren Mitgliedern oder den Gebieten, in denen sie tätig</w:t>
      </w:r>
      <w:r>
        <w:t xml:space="preserve"> </w:t>
      </w:r>
      <w:r w:rsidRPr="00455984">
        <w:t xml:space="preserve">sind, vorrangig </w:t>
      </w:r>
      <w:r w:rsidRPr="00983858">
        <w:rPr>
          <w:b/>
          <w:bCs/>
        </w:rPr>
        <w:t>ökologische</w:t>
      </w:r>
      <w:r w:rsidR="002E4857">
        <w:rPr>
          <w:b/>
          <w:bCs/>
        </w:rPr>
        <w:t xml:space="preserve"> </w:t>
      </w:r>
      <w:r w:rsidRPr="00455984">
        <w:t xml:space="preserve">oder </w:t>
      </w:r>
      <w:r w:rsidRPr="00983858">
        <w:rPr>
          <w:b/>
          <w:bCs/>
        </w:rPr>
        <w:t>sozialgemeinschaftliche</w:t>
      </w:r>
      <w:r w:rsidRPr="00455984">
        <w:t xml:space="preserve"> </w:t>
      </w:r>
      <w:r w:rsidRPr="00983858">
        <w:rPr>
          <w:b/>
          <w:bCs/>
        </w:rPr>
        <w:t>Vorteile</w:t>
      </w:r>
      <w:r w:rsidRPr="00455984">
        <w:t xml:space="preserve"> bringen</w:t>
      </w:r>
      <w:r w:rsidRPr="0023648C">
        <w:rPr>
          <w:rFonts w:ascii="inherit" w:hAnsi="inherit"/>
          <w:color w:val="334A54"/>
          <w:sz w:val="27"/>
          <w:szCs w:val="27"/>
          <w:lang w:eastAsia="de-AT"/>
        </w:rPr>
        <w:t>.</w:t>
      </w:r>
      <w:r w:rsidR="00983858" w:rsidRPr="00983858">
        <w:rPr>
          <w:rFonts w:ascii="inherit" w:hAnsi="inherit"/>
          <w:color w:val="334A54"/>
          <w:sz w:val="27"/>
          <w:szCs w:val="27"/>
          <w:lang w:eastAsia="de-AT"/>
        </w:rPr>
        <w:t xml:space="preserve"> </w:t>
      </w:r>
      <w:r w:rsidR="00983858" w:rsidRPr="00983858">
        <w:t xml:space="preserve">Wichtig dabei ist, dass das eingereichte Projekt Modellcharakter hat und in ähnlicher Form vielfach </w:t>
      </w:r>
      <w:r w:rsidR="00983858" w:rsidRPr="00983858">
        <w:rPr>
          <w:b/>
          <w:bCs/>
        </w:rPr>
        <w:t>multiplizierbar</w:t>
      </w:r>
      <w:r w:rsidR="00983858" w:rsidRPr="00983858">
        <w:t xml:space="preserve"> ist.</w:t>
      </w:r>
      <w:r w:rsidR="00983858">
        <w:t xml:space="preserve"> Die Auswahl der Projekte, die durch das Programm des Klima- und Energiefonds unterstützt werden, erfolgt durch eine </w:t>
      </w:r>
      <w:r w:rsidR="00983858" w:rsidRPr="00983858">
        <w:rPr>
          <w:b/>
          <w:bCs/>
        </w:rPr>
        <w:t>Fachjury</w:t>
      </w:r>
      <w:r w:rsidR="00983858">
        <w:t xml:space="preserve">. Insgesamt stehen </w:t>
      </w:r>
      <w:r w:rsidR="00983858" w:rsidRPr="00983858">
        <w:rPr>
          <w:b/>
          <w:bCs/>
        </w:rPr>
        <w:t>4 Millionen Euro</w:t>
      </w:r>
      <w:r w:rsidR="00983858">
        <w:t xml:space="preserve"> zur Verfügung. </w:t>
      </w:r>
    </w:p>
    <w:p w14:paraId="5F865EE9" w14:textId="46AA3A1F" w:rsidR="00455984" w:rsidRPr="0023648C" w:rsidRDefault="00455984" w:rsidP="00455984">
      <w:pPr>
        <w:pStyle w:val="4Barrierefrei"/>
      </w:pPr>
      <w:r>
        <w:t>Drei Projektphasen</w:t>
      </w:r>
    </w:p>
    <w:p w14:paraId="5131657E" w14:textId="1150C441" w:rsidR="00DF33B7" w:rsidRDefault="00072919" w:rsidP="00983858">
      <w:pPr>
        <w:pStyle w:val="TextBarrierefrei"/>
      </w:pPr>
      <w:r w:rsidRPr="00F548F2">
        <w:t xml:space="preserve">Um </w:t>
      </w:r>
      <w:r w:rsidR="00DF33B7" w:rsidRPr="00F548F2">
        <w:t>sowohl bereits nahezu ausgefeilte Gemeinschaften als auch solche, die noch ganz am Anfang stehen, gleichermaßen mit dem Programm abzuholen, werden im Rahmen des Programmes drei Unterstützungsphasen unterschieden:</w:t>
      </w:r>
      <w:r>
        <w:t xml:space="preserve"> </w:t>
      </w:r>
    </w:p>
    <w:p w14:paraId="0B1593C2" w14:textId="77777777" w:rsidR="00DF33B7" w:rsidRDefault="00072919" w:rsidP="00F548F2">
      <w:pPr>
        <w:pStyle w:val="A1AufzhlungsabsatzBarrierefrei"/>
      </w:pPr>
      <w:r>
        <w:t>Phase 1 adressiert Projekte, die schon kurz vor der Umsetzung stehen und startklar sind.</w:t>
      </w:r>
    </w:p>
    <w:p w14:paraId="7A3BC802" w14:textId="37BD7373" w:rsidR="00DF33B7" w:rsidRDefault="00072919" w:rsidP="00F548F2">
      <w:pPr>
        <w:pStyle w:val="A1AufzhlungsabsatzBarrierefrei"/>
      </w:pPr>
      <w:r>
        <w:t>Projekte, die für die Phase 2 einreichen, stehen im Gegensatz ganz am Anfang, in der Konzeptphase ihrer Energiegemeinschaft.</w:t>
      </w:r>
    </w:p>
    <w:p w14:paraId="12A21B02" w14:textId="58BCE341" w:rsidR="00D455A3" w:rsidRPr="00072919" w:rsidRDefault="00072919" w:rsidP="00F548F2">
      <w:pPr>
        <w:pStyle w:val="A1AufzhlungsabsatzBarrierefrei"/>
      </w:pPr>
      <w:r>
        <w:t xml:space="preserve">Phase 3 unterstützt </w:t>
      </w:r>
      <w:r w:rsidR="0002468F">
        <w:t xml:space="preserve">Projekte, die auf ein fertiges Konzept zurückgreifen können und noch Unterstützung in der Umsetzung benötigen. </w:t>
      </w:r>
    </w:p>
    <w:p w14:paraId="4F9F5F99" w14:textId="77777777" w:rsidR="00D455A3" w:rsidRDefault="00D455A3" w:rsidP="00983858">
      <w:pPr>
        <w:pStyle w:val="TextBarrierefrei"/>
        <w:rPr>
          <w:b/>
          <w:bCs/>
        </w:rPr>
      </w:pPr>
    </w:p>
    <w:p w14:paraId="15488876" w14:textId="6FF2C5E9" w:rsidR="00455984" w:rsidRPr="00983858" w:rsidRDefault="00455984" w:rsidP="00983858">
      <w:pPr>
        <w:pStyle w:val="TextBarrierefrei"/>
        <w:rPr>
          <w:b/>
          <w:bCs/>
        </w:rPr>
      </w:pPr>
      <w:r w:rsidRPr="00983858">
        <w:rPr>
          <w:b/>
          <w:bCs/>
        </w:rPr>
        <w:t>Stufe 1: Pionierphase</w:t>
      </w:r>
    </w:p>
    <w:p w14:paraId="1AA7D596" w14:textId="4C631F3B" w:rsidR="00F548F2" w:rsidRDefault="00455984" w:rsidP="00983858">
      <w:pPr>
        <w:pStyle w:val="TextBarrierefrei"/>
        <w:rPr>
          <w:rFonts w:ascii="inherit" w:hAnsi="inherit"/>
          <w:sz w:val="27"/>
          <w:szCs w:val="27"/>
        </w:rPr>
      </w:pPr>
      <w:r w:rsidRPr="00983858">
        <w:t xml:space="preserve">Im Rahmen der Stufe 1 des Programms werden Projekte mit einem bereits hohen Konkretisierungsgrad („Pioniere“) mit der detaillierten Dokumentation des Umsetzungskonzeptes und der Umsetzung beauftragt. Ziel des Umsetzungskonzeptes ist die konkrete Gründung einer Energiegemeinschaft inklusive Monitoring über zwei Betriebsjahre. Die Beauftragung umfasst dabei sowohl die Gründungskosten als auch die Erstellung eines technisch/wirtschaftlichen Konzepts sowie die </w:t>
      </w:r>
      <w:proofErr w:type="spellStart"/>
      <w:r w:rsidRPr="00983858">
        <w:t>Monitoringkosten</w:t>
      </w:r>
      <w:proofErr w:type="spellEnd"/>
      <w:r w:rsidRPr="00983858">
        <w:t xml:space="preserve"> für die ersten beiden Betriebsjahre</w:t>
      </w:r>
      <w:r w:rsidRPr="0023648C">
        <w:rPr>
          <w:rFonts w:ascii="inherit" w:hAnsi="inherit"/>
          <w:sz w:val="27"/>
          <w:szCs w:val="27"/>
        </w:rPr>
        <w:t>.</w:t>
      </w:r>
    </w:p>
    <w:p w14:paraId="33B9903E" w14:textId="3B27538A" w:rsidR="00455984" w:rsidRPr="00983858" w:rsidRDefault="00F548F2" w:rsidP="008E0ED9">
      <w:pPr>
        <w:pStyle w:val="TextBarrierefrei"/>
        <w:rPr>
          <w:b/>
          <w:bCs/>
        </w:rPr>
      </w:pPr>
      <w:r>
        <w:rPr>
          <w:rFonts w:ascii="inherit" w:hAnsi="inherit"/>
          <w:sz w:val="27"/>
          <w:szCs w:val="27"/>
        </w:rPr>
        <w:br w:type="page"/>
      </w:r>
      <w:r w:rsidR="008E0ED9">
        <w:rPr>
          <w:rFonts w:ascii="inherit" w:hAnsi="inherit"/>
          <w:sz w:val="27"/>
          <w:szCs w:val="27"/>
        </w:rPr>
        <w:lastRenderedPageBreak/>
        <w:br/>
      </w:r>
      <w:r w:rsidR="00455984" w:rsidRPr="00983858">
        <w:rPr>
          <w:b/>
          <w:bCs/>
        </w:rPr>
        <w:t>Stufe 2: Sondierungsphase</w:t>
      </w:r>
    </w:p>
    <w:p w14:paraId="70DF6F90" w14:textId="77777777" w:rsidR="00455984" w:rsidRPr="0023648C" w:rsidRDefault="00455984" w:rsidP="00983858">
      <w:pPr>
        <w:pStyle w:val="TextBarrierefrei"/>
      </w:pPr>
      <w:r w:rsidRPr="0023648C">
        <w:t>Im Rahmen der Stufe 2 des Programms wird die Vor- und Entwicklungsphase („Sondierung“) einer Energiegemeinschaft unterstützt. In dieser Phase soll ein Konzept für die Realisierung einer Energiegemeinschaft entwickelt werden. Die Beauftragung umfasst die Kosten für die Erstellung des Konzeptes.</w:t>
      </w:r>
    </w:p>
    <w:p w14:paraId="46C7EDBC" w14:textId="77777777" w:rsidR="00455984" w:rsidRPr="00983858" w:rsidRDefault="00455984" w:rsidP="00983858">
      <w:pPr>
        <w:pStyle w:val="TextBarrierefrei"/>
        <w:rPr>
          <w:b/>
          <w:bCs/>
        </w:rPr>
      </w:pPr>
      <w:r w:rsidRPr="00983858">
        <w:rPr>
          <w:b/>
          <w:bCs/>
        </w:rPr>
        <w:t>Stufe 3: Integrationsphase</w:t>
      </w:r>
    </w:p>
    <w:p w14:paraId="7EF81A0A" w14:textId="43FBF988" w:rsidR="00455984" w:rsidRPr="0023648C" w:rsidRDefault="00455984" w:rsidP="00983858">
      <w:pPr>
        <w:pStyle w:val="TextBarrierefrei"/>
      </w:pPr>
      <w:r w:rsidRPr="0023648C">
        <w:t>Im Rahmen der Stufe 3 des Programms werden</w:t>
      </w:r>
      <w:r w:rsidR="00983858">
        <w:t xml:space="preserve"> </w:t>
      </w:r>
      <w:r w:rsidRPr="0023648C">
        <w:t>zukünftige Energiegemeinschaften</w:t>
      </w:r>
      <w:r w:rsidR="00983858">
        <w:t xml:space="preserve"> </w:t>
      </w:r>
      <w:r w:rsidRPr="0023648C">
        <w:t>mit der Erstellung</w:t>
      </w:r>
      <w:r w:rsidR="00983858">
        <w:t xml:space="preserve"> </w:t>
      </w:r>
      <w:r w:rsidRPr="0023648C">
        <w:t>eines Umsetzungskonzeptes und der</w:t>
      </w:r>
      <w:r w:rsidR="00983858">
        <w:t xml:space="preserve"> </w:t>
      </w:r>
      <w:r w:rsidRPr="0023648C">
        <w:t>konkreten</w:t>
      </w:r>
      <w:r w:rsidR="00983858">
        <w:t xml:space="preserve"> </w:t>
      </w:r>
      <w:r w:rsidRPr="0023648C">
        <w:t>Umsetzung beauftragt. Ziel des Umsetzungskonzeptes</w:t>
      </w:r>
      <w:r w:rsidR="00983858">
        <w:t xml:space="preserve"> </w:t>
      </w:r>
      <w:r w:rsidRPr="0023648C">
        <w:t>ist die Gründung einer Energiegemeinschaft</w:t>
      </w:r>
      <w:r w:rsidR="00983858">
        <w:t xml:space="preserve"> </w:t>
      </w:r>
      <w:r w:rsidRPr="0023648C">
        <w:t>inklusive</w:t>
      </w:r>
      <w:r w:rsidR="00983858">
        <w:t xml:space="preserve"> </w:t>
      </w:r>
      <w:r w:rsidRPr="0023648C">
        <w:t>Monitoring</w:t>
      </w:r>
      <w:r w:rsidR="00983858">
        <w:t xml:space="preserve"> </w:t>
      </w:r>
      <w:r w:rsidRPr="0023648C">
        <w:t>über</w:t>
      </w:r>
      <w:r w:rsidR="00983858">
        <w:t xml:space="preserve"> </w:t>
      </w:r>
      <w:r w:rsidRPr="0023648C">
        <w:t>zwei Betriebsjahre. Die Beauftragung umfasst dabei sowohl die Gründungskosten als auch die Erstellung eines technischen Konzepts</w:t>
      </w:r>
      <w:r w:rsidR="00983858">
        <w:t xml:space="preserve"> </w:t>
      </w:r>
      <w:r w:rsidRPr="0023648C">
        <w:t>sowie die</w:t>
      </w:r>
      <w:r w:rsidR="00983858">
        <w:t xml:space="preserve"> </w:t>
      </w:r>
      <w:proofErr w:type="spellStart"/>
      <w:r w:rsidRPr="0023648C">
        <w:t>Monitoringkosten</w:t>
      </w:r>
      <w:proofErr w:type="spellEnd"/>
      <w:r w:rsidR="00983858">
        <w:t xml:space="preserve"> </w:t>
      </w:r>
      <w:r w:rsidRPr="0023648C">
        <w:t>für die</w:t>
      </w:r>
      <w:r w:rsidR="00983858">
        <w:t xml:space="preserve"> </w:t>
      </w:r>
      <w:r w:rsidRPr="0023648C">
        <w:t>ersten</w:t>
      </w:r>
      <w:r w:rsidR="00983858">
        <w:t xml:space="preserve"> </w:t>
      </w:r>
      <w:r w:rsidRPr="0023648C">
        <w:t>beiden</w:t>
      </w:r>
      <w:r w:rsidR="00983858">
        <w:t xml:space="preserve"> </w:t>
      </w:r>
      <w:r w:rsidRPr="0023648C">
        <w:t>Betriebsjahre.</w:t>
      </w:r>
    </w:p>
    <w:p w14:paraId="75206DF5" w14:textId="77777777" w:rsidR="00455984" w:rsidRPr="00983858" w:rsidRDefault="00455984" w:rsidP="00983858">
      <w:pPr>
        <w:pStyle w:val="4Barrierefrei"/>
      </w:pPr>
      <w:r w:rsidRPr="00983858">
        <w:t>Beurteilungskriterien</w:t>
      </w:r>
    </w:p>
    <w:p w14:paraId="7827572C" w14:textId="3DAE729E" w:rsidR="00455984" w:rsidRPr="0023648C" w:rsidRDefault="00455984" w:rsidP="00014644">
      <w:pPr>
        <w:pStyle w:val="TextBarrierefrei"/>
      </w:pPr>
      <w:r w:rsidRPr="0023648C">
        <w:t xml:space="preserve">Bei der Auswahl durch die Jury kommen </w:t>
      </w:r>
      <w:r w:rsidR="00014644">
        <w:t xml:space="preserve">unter anderem </w:t>
      </w:r>
      <w:r w:rsidRPr="0023648C">
        <w:t>folgende Beurteilungskriterien zur Anwendung:</w:t>
      </w:r>
    </w:p>
    <w:p w14:paraId="54EF4246" w14:textId="77777777" w:rsidR="00014644" w:rsidRPr="00014644" w:rsidRDefault="00455984" w:rsidP="00014644">
      <w:pPr>
        <w:pStyle w:val="A1AufzhlungsabsatzBarrierefrei"/>
      </w:pPr>
      <w:r w:rsidRPr="0023648C">
        <w:rPr>
          <w:b/>
          <w:bCs/>
          <w:bdr w:val="none" w:sz="0" w:space="0" w:color="auto" w:frame="1"/>
        </w:rPr>
        <w:t>Energiegemeinschaft</w:t>
      </w:r>
    </w:p>
    <w:p w14:paraId="0FE36B4D" w14:textId="77777777" w:rsidR="00014644" w:rsidRDefault="00455984" w:rsidP="00014644">
      <w:pPr>
        <w:pStyle w:val="A2AufzhlungsabsatzBarrierefrei"/>
      </w:pPr>
      <w:r w:rsidRPr="00014644">
        <w:t>Beabsichtigte Ziele der Energiegemeinschaft in ökologischer, sozialgemeinschaftlicher und wirtschaftlicher Hinsicht</w:t>
      </w:r>
    </w:p>
    <w:p w14:paraId="4D28CED9" w14:textId="77777777" w:rsidR="00014644" w:rsidRDefault="00455984" w:rsidP="00014644">
      <w:pPr>
        <w:pStyle w:val="A2AufzhlungsabsatzBarrierefrei"/>
      </w:pPr>
      <w:r w:rsidRPr="00014644">
        <w:t>Größe der Energiegemeinschaft und Möglichkeiten der stetigen Erweiterung</w:t>
      </w:r>
    </w:p>
    <w:p w14:paraId="184826E7" w14:textId="20F436C9" w:rsidR="00455984" w:rsidRDefault="00455984" w:rsidP="00014644">
      <w:pPr>
        <w:pStyle w:val="A2AufzhlungsabsatzBarrierefrei"/>
      </w:pPr>
      <w:r w:rsidRPr="00014644">
        <w:t>Diversität der Mitglieder (Haushalte, Gemeinden, KMUs, Genossenschaften, etc.)</w:t>
      </w:r>
    </w:p>
    <w:p w14:paraId="5B52F286" w14:textId="77777777" w:rsidR="00014644" w:rsidRPr="00014644" w:rsidRDefault="00455984" w:rsidP="004F35F9">
      <w:pPr>
        <w:pStyle w:val="A1AufzhlungsabsatzBarrierefrei"/>
        <w:rPr>
          <w:rFonts w:ascii="inherit" w:hAnsi="inherit"/>
          <w:color w:val="334A54"/>
          <w:sz w:val="27"/>
          <w:szCs w:val="27"/>
          <w:lang w:eastAsia="de-AT"/>
        </w:rPr>
      </w:pPr>
      <w:r w:rsidRPr="00014644">
        <w:rPr>
          <w:b/>
          <w:bCs/>
          <w:bdr w:val="none" w:sz="0" w:space="0" w:color="auto" w:frame="1"/>
        </w:rPr>
        <w:t>Technologische</w:t>
      </w:r>
      <w:r w:rsidRPr="00014644">
        <w:rPr>
          <w:rFonts w:ascii="inherit" w:hAnsi="inherit"/>
          <w:b/>
          <w:bCs/>
          <w:color w:val="334A54"/>
          <w:sz w:val="27"/>
          <w:szCs w:val="27"/>
          <w:bdr w:val="none" w:sz="0" w:space="0" w:color="auto" w:frame="1"/>
          <w:lang w:eastAsia="de-AT"/>
        </w:rPr>
        <w:t xml:space="preserve"> </w:t>
      </w:r>
      <w:r w:rsidRPr="00014644">
        <w:rPr>
          <w:b/>
          <w:bCs/>
          <w:bdr w:val="none" w:sz="0" w:space="0" w:color="auto" w:frame="1"/>
        </w:rPr>
        <w:t>Aspekte</w:t>
      </w:r>
    </w:p>
    <w:p w14:paraId="16BE90DA" w14:textId="6CCC8BAD" w:rsidR="00014644" w:rsidRDefault="00455984" w:rsidP="00014644">
      <w:pPr>
        <w:pStyle w:val="A2AufzhlungsabsatzBarrierefrei"/>
      </w:pPr>
      <w:r w:rsidRPr="00014644">
        <w:t>Technologieoffenheit (Photovoltaik, Kleinwasserkraft, (Klein)Windkraft, Bioenergie, etc.)</w:t>
      </w:r>
      <w:r w:rsidR="00014644">
        <w:t xml:space="preserve"> </w:t>
      </w:r>
      <w:r w:rsidRPr="00014644">
        <w:t>und Größe bzw.</w:t>
      </w:r>
      <w:r w:rsidR="00014644">
        <w:t xml:space="preserve"> </w:t>
      </w:r>
      <w:r w:rsidRPr="00014644">
        <w:t>Innovationsgrad</w:t>
      </w:r>
      <w:r w:rsidR="00014644">
        <w:t xml:space="preserve"> </w:t>
      </w:r>
      <w:r w:rsidRPr="00014644">
        <w:t>der Energieerzeugungsanlagen</w:t>
      </w:r>
    </w:p>
    <w:p w14:paraId="5E453BDA" w14:textId="77777777" w:rsidR="00014644" w:rsidRPr="00014644" w:rsidRDefault="00455984" w:rsidP="00014644">
      <w:pPr>
        <w:pStyle w:val="A2AufzhlungsabsatzBarrierefrei"/>
      </w:pPr>
      <w:r w:rsidRPr="00014644">
        <w:t>Sektorenkopplung,</w:t>
      </w:r>
      <w:r w:rsidR="00014644">
        <w:t xml:space="preserve"> </w:t>
      </w:r>
      <w:r w:rsidRPr="00014644">
        <w:t>Verbindung mit E-Mobilität</w:t>
      </w:r>
      <w:r w:rsidR="00014644">
        <w:t xml:space="preserve"> </w:t>
      </w:r>
      <w:r w:rsidRPr="00014644">
        <w:t>und/oder Wärme</w:t>
      </w:r>
    </w:p>
    <w:p w14:paraId="7EC37C9F" w14:textId="44FB41D9" w:rsidR="00014644" w:rsidRPr="00014644" w:rsidRDefault="00455984" w:rsidP="00014644">
      <w:pPr>
        <w:pStyle w:val="A2AufzhlungsabsatzBarrierefrei"/>
      </w:pPr>
      <w:r w:rsidRPr="00014644">
        <w:t>Einsatz von Speichertechnologie bzw. Maßnahmen des Energiemanagements</w:t>
      </w:r>
      <w:r w:rsidR="008F6E25">
        <w:t xml:space="preserve"> im Sinne der Energieeffizienz und Dekarbonisierung</w:t>
      </w:r>
    </w:p>
    <w:p w14:paraId="42441B8F" w14:textId="16C2BBEB" w:rsidR="00014644" w:rsidRPr="00014644" w:rsidRDefault="00455984" w:rsidP="00BF5AA7">
      <w:pPr>
        <w:pStyle w:val="A2AufzhlungsabsatzBarrierefrei"/>
        <w:numPr>
          <w:ilvl w:val="0"/>
          <w:numId w:val="10"/>
        </w:numPr>
        <w:spacing w:after="0" w:line="432" w:lineRule="atLeast"/>
        <w:textAlignment w:val="baseline"/>
        <w:rPr>
          <w:rFonts w:ascii="inherit" w:hAnsi="inherit"/>
          <w:color w:val="334A54"/>
          <w:sz w:val="27"/>
          <w:szCs w:val="27"/>
          <w:lang w:val="de-AT" w:eastAsia="de-AT"/>
        </w:rPr>
      </w:pPr>
      <w:r w:rsidRPr="00014644">
        <w:rPr>
          <w:b/>
          <w:bCs/>
          <w:bdr w:val="none" w:sz="0" w:space="0" w:color="auto" w:frame="1"/>
        </w:rPr>
        <w:t xml:space="preserve">Energieerzeugung und </w:t>
      </w:r>
      <w:r w:rsidR="00014644">
        <w:rPr>
          <w:b/>
          <w:bCs/>
          <w:bdr w:val="none" w:sz="0" w:space="0" w:color="auto" w:frame="1"/>
        </w:rPr>
        <w:t>-</w:t>
      </w:r>
      <w:r w:rsidRPr="00014644">
        <w:rPr>
          <w:b/>
          <w:bCs/>
          <w:bdr w:val="none" w:sz="0" w:space="0" w:color="auto" w:frame="1"/>
        </w:rPr>
        <w:t>verteilun</w:t>
      </w:r>
      <w:r w:rsidR="00014644" w:rsidRPr="00014644">
        <w:rPr>
          <w:b/>
          <w:bCs/>
          <w:bdr w:val="none" w:sz="0" w:space="0" w:color="auto" w:frame="1"/>
        </w:rPr>
        <w:t>g</w:t>
      </w:r>
    </w:p>
    <w:p w14:paraId="1D45740E" w14:textId="77777777" w:rsidR="00014644" w:rsidRDefault="00455984" w:rsidP="00014644">
      <w:pPr>
        <w:pStyle w:val="A2AufzhlungsabsatzBarrierefrei"/>
      </w:pPr>
      <w:r w:rsidRPr="00014644">
        <w:t>Ausmaß der geplanten Errichtung neuer Erzeugungskapazitäten im Verhältnis zur Größe der Energiegemeinschaft</w:t>
      </w:r>
    </w:p>
    <w:p w14:paraId="2686DAFE" w14:textId="36A72910" w:rsidR="00014644" w:rsidRDefault="00455984" w:rsidP="00014644">
      <w:pPr>
        <w:pStyle w:val="A2AufzhlungsabsatzBarrierefrei"/>
      </w:pPr>
      <w:r w:rsidRPr="00014644">
        <w:t>Ausbau-/Erweiterungspotenziale</w:t>
      </w:r>
      <w:r w:rsidR="00014644">
        <w:t xml:space="preserve"> </w:t>
      </w:r>
      <w:r w:rsidRPr="00014644">
        <w:t>der Erzeugungskapazitäten</w:t>
      </w:r>
      <w:r w:rsidR="00014644">
        <w:t xml:space="preserve"> </w:t>
      </w:r>
      <w:r w:rsidRPr="00014644">
        <w:t>der geplanten Energiegemeinschaft</w:t>
      </w:r>
      <w:r w:rsidR="00014644">
        <w:t xml:space="preserve"> </w:t>
      </w:r>
      <w:r w:rsidRPr="00014644">
        <w:t>bei stetiger Erweiterung</w:t>
      </w:r>
    </w:p>
    <w:p w14:paraId="2F521B8B" w14:textId="77777777" w:rsidR="00014644" w:rsidRDefault="00455984" w:rsidP="00014644">
      <w:pPr>
        <w:pStyle w:val="A2AufzhlungsabsatzBarrierefrei"/>
      </w:pPr>
      <w:r w:rsidRPr="00014644">
        <w:t xml:space="preserve">Flexibilität und </w:t>
      </w:r>
      <w:proofErr w:type="spellStart"/>
      <w:r w:rsidRPr="00014644">
        <w:t>Netzdienlichkeit</w:t>
      </w:r>
      <w:proofErr w:type="spellEnd"/>
    </w:p>
    <w:p w14:paraId="7AC18751" w14:textId="309AB000" w:rsidR="00014644" w:rsidRDefault="00455984" w:rsidP="00014644">
      <w:pPr>
        <w:pStyle w:val="A2AufzhlungsabsatzBarrierefrei"/>
      </w:pPr>
      <w:r w:rsidRPr="00014644">
        <w:t>Angestrebter Grad der Autonomie</w:t>
      </w:r>
    </w:p>
    <w:p w14:paraId="395EAAD2" w14:textId="7283FE7F" w:rsidR="008E0ED9" w:rsidRDefault="008E0ED9" w:rsidP="008E0ED9">
      <w:pPr>
        <w:pStyle w:val="A1AufzhlungsabsatzBarrierefrei"/>
        <w:numPr>
          <w:ilvl w:val="0"/>
          <w:numId w:val="0"/>
        </w:numPr>
        <w:ind w:left="450" w:hanging="360"/>
      </w:pPr>
    </w:p>
    <w:p w14:paraId="4CC7463F" w14:textId="7F136E4B" w:rsidR="008E0ED9" w:rsidRDefault="008E0ED9" w:rsidP="008E0ED9">
      <w:pPr>
        <w:pStyle w:val="A1AufzhlungsabsatzBarrierefrei"/>
        <w:numPr>
          <w:ilvl w:val="0"/>
          <w:numId w:val="0"/>
        </w:numPr>
        <w:ind w:left="450" w:hanging="360"/>
      </w:pPr>
    </w:p>
    <w:p w14:paraId="277B33E6" w14:textId="77777777" w:rsidR="008E0ED9" w:rsidRDefault="008E0ED9" w:rsidP="008E0ED9">
      <w:pPr>
        <w:pStyle w:val="A1AufzhlungsabsatzBarrierefrei"/>
        <w:numPr>
          <w:ilvl w:val="0"/>
          <w:numId w:val="0"/>
        </w:numPr>
        <w:ind w:left="450" w:hanging="360"/>
      </w:pPr>
    </w:p>
    <w:p w14:paraId="3006375D" w14:textId="5D7F6138" w:rsidR="00455984" w:rsidRPr="00014644" w:rsidRDefault="00455984" w:rsidP="00014644">
      <w:pPr>
        <w:pStyle w:val="A2AufzhlungsabsatzBarrierefrei"/>
      </w:pPr>
      <w:r w:rsidRPr="00014644">
        <w:t>Grad der Sicherheit für die Energielieferung, Wartung und Service bzw. Ausfallsicherheit</w:t>
      </w:r>
    </w:p>
    <w:p w14:paraId="3E6BA820" w14:textId="77777777" w:rsidR="00014644" w:rsidRPr="00014644" w:rsidRDefault="00455984" w:rsidP="00455984">
      <w:pPr>
        <w:numPr>
          <w:ilvl w:val="0"/>
          <w:numId w:val="10"/>
        </w:numPr>
        <w:spacing w:after="0" w:line="432" w:lineRule="atLeast"/>
        <w:textAlignment w:val="baseline"/>
        <w:rPr>
          <w:rFonts w:ascii="inherit" w:eastAsia="Times New Roman" w:hAnsi="inherit" w:cs="Times New Roman"/>
          <w:color w:val="334A54"/>
          <w:sz w:val="27"/>
          <w:szCs w:val="27"/>
          <w:lang w:eastAsia="de-AT"/>
        </w:rPr>
      </w:pPr>
      <w:r w:rsidRPr="00014644">
        <w:rPr>
          <w:rFonts w:ascii="Verdana" w:eastAsia="Times New Roman" w:hAnsi="Verdana" w:cs="Times New Roman"/>
          <w:b/>
          <w:bCs/>
          <w:bdr w:val="none" w:sz="0" w:space="0" w:color="auto" w:frame="1"/>
          <w:lang w:val="de-DE" w:eastAsia="de-DE"/>
        </w:rPr>
        <w:t>Nutzen der Teilnahme am Programm</w:t>
      </w:r>
    </w:p>
    <w:p w14:paraId="3D535C5D" w14:textId="77777777" w:rsidR="00014644" w:rsidRPr="00014644" w:rsidRDefault="00455984" w:rsidP="00014644">
      <w:pPr>
        <w:pStyle w:val="A2AufzhlungsabsatzBarrierefrei"/>
      </w:pPr>
      <w:r w:rsidRPr="00014644">
        <w:t>Ökologische Vorteile der Energiegemeinschaft</w:t>
      </w:r>
      <w:r w:rsidR="00014644" w:rsidRPr="00014644">
        <w:t xml:space="preserve"> </w:t>
      </w:r>
    </w:p>
    <w:p w14:paraId="219017F8" w14:textId="77777777" w:rsidR="00014644" w:rsidRPr="00014644" w:rsidRDefault="00455984" w:rsidP="00014644">
      <w:pPr>
        <w:pStyle w:val="A2AufzhlungsabsatzBarrierefrei"/>
      </w:pPr>
      <w:r w:rsidRPr="00014644">
        <w:t>Wirtschaftliche Vorteile</w:t>
      </w:r>
      <w:r w:rsidR="00014644" w:rsidRPr="00014644">
        <w:t xml:space="preserve"> </w:t>
      </w:r>
    </w:p>
    <w:p w14:paraId="49245A4E" w14:textId="77777777" w:rsidR="00014644" w:rsidRPr="00014644" w:rsidRDefault="00455984" w:rsidP="00014644">
      <w:pPr>
        <w:pStyle w:val="A2AufzhlungsabsatzBarrierefrei"/>
      </w:pPr>
      <w:r w:rsidRPr="00014644">
        <w:t>Regionalwirtschaftlicher Nutzen</w:t>
      </w:r>
      <w:r w:rsidR="00014644" w:rsidRPr="00014644">
        <w:t xml:space="preserve"> </w:t>
      </w:r>
    </w:p>
    <w:p w14:paraId="6397B4EC" w14:textId="77777777" w:rsidR="00014644" w:rsidRPr="00014644" w:rsidRDefault="00455984" w:rsidP="00014644">
      <w:pPr>
        <w:pStyle w:val="A2AufzhlungsabsatzBarrierefrei"/>
      </w:pPr>
      <w:r w:rsidRPr="00014644">
        <w:t>Sozialgemeinschaftliche Vorteile und Adressierung von Energiearmut</w:t>
      </w:r>
      <w:r w:rsidR="00014644" w:rsidRPr="00014644">
        <w:t xml:space="preserve"> </w:t>
      </w:r>
    </w:p>
    <w:p w14:paraId="7986C42C" w14:textId="22C40D1C" w:rsidR="00455984" w:rsidRPr="00014644" w:rsidRDefault="00455984" w:rsidP="00014644">
      <w:pPr>
        <w:pStyle w:val="A2AufzhlungsabsatzBarrierefrei"/>
      </w:pPr>
      <w:r w:rsidRPr="00014644">
        <w:t>Multiplizierbarkeit</w:t>
      </w:r>
      <w:r w:rsidR="00014644" w:rsidRPr="00014644">
        <w:t xml:space="preserve"> </w:t>
      </w:r>
      <w:r w:rsidRPr="00014644">
        <w:t>(grundsätzliche Multiplizierbarkeit wird vorausgesetzt)</w:t>
      </w:r>
    </w:p>
    <w:p w14:paraId="4220C093" w14:textId="77777777" w:rsidR="00455984" w:rsidRPr="00014644" w:rsidRDefault="00455984" w:rsidP="00455984">
      <w:pPr>
        <w:numPr>
          <w:ilvl w:val="0"/>
          <w:numId w:val="10"/>
        </w:numPr>
        <w:spacing w:after="0" w:line="432" w:lineRule="atLeast"/>
        <w:textAlignment w:val="baseline"/>
        <w:rPr>
          <w:rFonts w:ascii="Verdana" w:eastAsia="Times New Roman" w:hAnsi="Verdana" w:cs="Times New Roman"/>
          <w:b/>
          <w:bCs/>
          <w:bdr w:val="none" w:sz="0" w:space="0" w:color="auto" w:frame="1"/>
          <w:lang w:val="de-DE" w:eastAsia="de-DE"/>
        </w:rPr>
      </w:pPr>
      <w:r w:rsidRPr="00014644">
        <w:rPr>
          <w:rFonts w:ascii="Verdana" w:eastAsia="Times New Roman" w:hAnsi="Verdana" w:cs="Times New Roman"/>
          <w:b/>
          <w:bCs/>
          <w:bdr w:val="none" w:sz="0" w:space="0" w:color="auto" w:frame="1"/>
          <w:lang w:val="de-DE" w:eastAsia="de-DE"/>
        </w:rPr>
        <w:t>Angemessenheit der Kosten</w:t>
      </w:r>
    </w:p>
    <w:p w14:paraId="7B823181" w14:textId="2105FD06" w:rsidR="00455984" w:rsidRPr="00014644" w:rsidRDefault="00455984" w:rsidP="00014644">
      <w:pPr>
        <w:pStyle w:val="4Barrierefrei"/>
      </w:pPr>
      <w:r w:rsidRPr="00014644">
        <w:t>Beauftragungssummen</w:t>
      </w:r>
      <w:r w:rsidR="008B47F1">
        <w:t xml:space="preserve"> und</w:t>
      </w:r>
      <w:r w:rsidRPr="00014644">
        <w:t xml:space="preserve"> Einreichfristen</w:t>
      </w:r>
    </w:p>
    <w:p w14:paraId="0D6908A9" w14:textId="77777777" w:rsidR="00612FEF" w:rsidRPr="00F548F2" w:rsidRDefault="00612FEF" w:rsidP="00612FEF">
      <w:pPr>
        <w:pStyle w:val="TextBarrierefrei"/>
      </w:pPr>
      <w:r w:rsidRPr="00F548F2">
        <w:t xml:space="preserve">Die Höhe der Beauftragung (inkl. aller Abgaben und Steuern) der </w:t>
      </w:r>
      <w:r w:rsidRPr="00F548F2">
        <w:rPr>
          <w:b/>
          <w:bCs/>
        </w:rPr>
        <w:t>Stufe 1</w:t>
      </w:r>
      <w:r w:rsidRPr="00F548F2">
        <w:t xml:space="preserve"> Pionierphase beträgt max. </w:t>
      </w:r>
      <w:r w:rsidRPr="00F548F2">
        <w:rPr>
          <w:b/>
          <w:bCs/>
        </w:rPr>
        <w:t>25.000 Euro</w:t>
      </w:r>
      <w:r w:rsidRPr="00F548F2">
        <w:t>. Einreichungen sind von 20.09.2021 bis 31.10.2021 (12 Uhr) möglich.</w:t>
      </w:r>
    </w:p>
    <w:p w14:paraId="117DED26" w14:textId="77777777" w:rsidR="00612FEF" w:rsidRPr="00F548F2" w:rsidRDefault="00612FEF" w:rsidP="00612FEF">
      <w:pPr>
        <w:pStyle w:val="TextBarrierefrei"/>
      </w:pPr>
      <w:r w:rsidRPr="00F548F2">
        <w:t xml:space="preserve">Die Höhe der Beauftragung (inkl. aller Abgaben und Steuern) der </w:t>
      </w:r>
      <w:r w:rsidRPr="00F548F2">
        <w:rPr>
          <w:b/>
          <w:bCs/>
        </w:rPr>
        <w:t>Stufe 2</w:t>
      </w:r>
      <w:r w:rsidRPr="00F548F2">
        <w:t xml:space="preserve"> Sondierungsphase beträgt max. </w:t>
      </w:r>
      <w:r w:rsidRPr="00F548F2">
        <w:rPr>
          <w:b/>
          <w:bCs/>
        </w:rPr>
        <w:t>5.000 Euro</w:t>
      </w:r>
      <w:r w:rsidRPr="00F548F2">
        <w:t>. Einreichungen sind von 01.11.2021 bis 31.12.2021 (12 Uhr) möglich.</w:t>
      </w:r>
    </w:p>
    <w:p w14:paraId="26FF95A9" w14:textId="77777777" w:rsidR="00612FEF" w:rsidRPr="00F548F2" w:rsidRDefault="00612FEF" w:rsidP="00612FEF">
      <w:pPr>
        <w:pStyle w:val="TextBarrierefrei"/>
      </w:pPr>
      <w:r w:rsidRPr="00F548F2">
        <w:t xml:space="preserve">Die Höhe der Beauftragung (inkl. aller Abgaben und Steuern) der </w:t>
      </w:r>
      <w:r w:rsidRPr="00F548F2">
        <w:rPr>
          <w:b/>
          <w:bCs/>
        </w:rPr>
        <w:t>Stufe 3</w:t>
      </w:r>
      <w:r w:rsidRPr="00F548F2">
        <w:t xml:space="preserve"> Integrationsphase beträgt max. </w:t>
      </w:r>
      <w:r w:rsidRPr="00F548F2">
        <w:rPr>
          <w:b/>
          <w:bCs/>
        </w:rPr>
        <w:t>20.000 Euro</w:t>
      </w:r>
      <w:r w:rsidRPr="00F548F2">
        <w:t>. Einreichungen sind von 01.01.2022 bis 28.02.2022 (12 Uhr) möglich.</w:t>
      </w:r>
    </w:p>
    <w:p w14:paraId="1DE772A6" w14:textId="77777777" w:rsidR="002E4857" w:rsidRPr="00A8611D" w:rsidRDefault="002E4857" w:rsidP="00A8611D">
      <w:pPr>
        <w:pStyle w:val="TextBarrierefrei"/>
      </w:pPr>
      <w:r w:rsidRPr="00A8611D">
        <w:t>Ein Projekt kann bei Stufe 2 und/oder Stufe 3 einreichen, sofern keine Beauftragung aus Stufe 1 vorliegt. Projekte, die in Stufe 1 beauftragt wurden, können nicht mehr mit Stufe 2 und/oder Stufe 3 beauftragt werden.</w:t>
      </w:r>
    </w:p>
    <w:p w14:paraId="4BB40934" w14:textId="698E3109" w:rsidR="00455984" w:rsidRDefault="00455984" w:rsidP="00014644">
      <w:pPr>
        <w:pStyle w:val="TextBarrierefrei"/>
      </w:pPr>
      <w:r w:rsidRPr="0023648C">
        <w:t>Die benötigte Höhe wird vom Antragsteller</w:t>
      </w:r>
      <w:r w:rsidR="008F6E25">
        <w:t>/von der Antragstellerin</w:t>
      </w:r>
      <w:r w:rsidRPr="0023648C">
        <w:t xml:space="preserve"> bei der Einreichung bekannt gegeben. Für alle Stufen behält sich die Jury vor, die Höhe der Beauftragung auf Angemessenheit zu prüfen und gegebenenfalls zu reduzieren. Projekte, deren Kosten die maximale </w:t>
      </w:r>
      <w:r w:rsidR="000A1D5F">
        <w:t>Beauftragungshöhe</w:t>
      </w:r>
      <w:r w:rsidRPr="0023648C">
        <w:t xml:space="preserve"> übersteigen</w:t>
      </w:r>
      <w:r w:rsidR="000A1D5F">
        <w:t>,</w:t>
      </w:r>
      <w:r w:rsidRPr="0023648C">
        <w:t xml:space="preserve"> werden ausgeschieden und nicht weiterbearbeitet.</w:t>
      </w:r>
      <w:r w:rsidR="008B47F1">
        <w:t xml:space="preserve"> </w:t>
      </w:r>
      <w:r w:rsidRPr="0023648C">
        <w:t>50% der Unterstützung werden bei Auftragsvergabe ausbezahlt. Der Restbetrag wird nach Abnahme des</w:t>
      </w:r>
      <w:r w:rsidR="00014644">
        <w:t xml:space="preserve"> </w:t>
      </w:r>
      <w:r w:rsidRPr="0023648C">
        <w:t>jeweiligen</w:t>
      </w:r>
      <w:r w:rsidR="00014644">
        <w:t xml:space="preserve"> </w:t>
      </w:r>
      <w:r w:rsidRPr="0023648C">
        <w:t>Endberichts sowie eines zur Veröffentlichung bestimmten publizierbaren Berichts bezahlt.</w:t>
      </w:r>
    </w:p>
    <w:p w14:paraId="61BF3EA5" w14:textId="79F63063" w:rsidR="008B47F1" w:rsidRDefault="008B47F1" w:rsidP="00014644">
      <w:pPr>
        <w:pStyle w:val="TextBarrierefrei"/>
      </w:pPr>
      <w:r>
        <w:t xml:space="preserve">Weitere Informationen: </w:t>
      </w:r>
      <w:hyperlink r:id="rId8" w:history="1">
        <w:r w:rsidRPr="00E51D41">
          <w:rPr>
            <w:rStyle w:val="Hyperlink"/>
          </w:rPr>
          <w:t>www.energiegemeinschaften.gv.at</w:t>
        </w:r>
      </w:hyperlink>
      <w:r>
        <w:t xml:space="preserve"> </w:t>
      </w:r>
    </w:p>
    <w:p w14:paraId="7AF75F64" w14:textId="77777777" w:rsidR="008E0ED9" w:rsidRDefault="008E0ED9" w:rsidP="007B1AF2">
      <w:pPr>
        <w:pStyle w:val="3Barrierefrei"/>
        <w:spacing w:before="480"/>
      </w:pPr>
    </w:p>
    <w:p w14:paraId="0CBD3F37" w14:textId="0DB885F2" w:rsidR="000A1D5F" w:rsidRPr="007B1AF2" w:rsidRDefault="000A1D5F" w:rsidP="007B1AF2">
      <w:pPr>
        <w:pStyle w:val="3Barrierefrei"/>
        <w:spacing w:before="480"/>
      </w:pPr>
      <w:r w:rsidRPr="007B1AF2">
        <w:t>Ansprechpartner für allgemeine Fragen zu Einreichung, Abwicklung und Anträgen</w:t>
      </w:r>
    </w:p>
    <w:p w14:paraId="18BC318E" w14:textId="2A9A2BF9" w:rsidR="000A1D5F" w:rsidRPr="001404F3" w:rsidRDefault="000A1D5F" w:rsidP="007B1AF2">
      <w:pPr>
        <w:pStyle w:val="TextBarrierefrei"/>
      </w:pPr>
      <w:r w:rsidRPr="001404F3">
        <w:t>Kommunalkredit Public Consulting GmbH</w:t>
      </w:r>
      <w:r w:rsidR="007B1AF2">
        <w:t xml:space="preserve">, </w:t>
      </w:r>
      <w:r w:rsidRPr="001404F3">
        <w:t>Bearbeitungsteam „Energiegemeinschaften“</w:t>
      </w:r>
      <w:r w:rsidR="007B1AF2">
        <w:br/>
      </w:r>
      <w:r w:rsidRPr="001404F3">
        <w:t>Telefon: 01/316 31-716</w:t>
      </w:r>
      <w:r w:rsidR="007B1AF2">
        <w:br/>
      </w:r>
      <w:r w:rsidRPr="001404F3">
        <w:t xml:space="preserve">E-Mail: </w:t>
      </w:r>
      <w:hyperlink r:id="rId9" w:history="1">
        <w:r w:rsidR="007B1AF2" w:rsidRPr="00200B9C">
          <w:rPr>
            <w:rStyle w:val="Hyperlink"/>
          </w:rPr>
          <w:t>umwelt@kommunalkredit.at</w:t>
        </w:r>
      </w:hyperlink>
      <w:r w:rsidR="007B1AF2">
        <w:t xml:space="preserve"> </w:t>
      </w:r>
    </w:p>
    <w:p w14:paraId="0BEB4DEE" w14:textId="77777777" w:rsidR="00232CE8" w:rsidRPr="00232CE8" w:rsidRDefault="00351E3D" w:rsidP="000173D9">
      <w:pPr>
        <w:pStyle w:val="3Barrierefrei"/>
        <w:spacing w:before="480"/>
      </w:pPr>
      <w:bookmarkStart w:id="0" w:name="_Hlk481660136"/>
      <w:r>
        <w:t>Pressekontakt</w:t>
      </w:r>
    </w:p>
    <w:p w14:paraId="48638A48" w14:textId="2D25D24F" w:rsidR="008E0ED9" w:rsidRPr="008E0ED9" w:rsidRDefault="008E0ED9" w:rsidP="00232CE8">
      <w:pPr>
        <w:pStyle w:val="TextBarrierefrei"/>
        <w:rPr>
          <w:color w:val="0D539E"/>
          <w:u w:val="single"/>
          <w:lang w:val="de-AT"/>
        </w:rPr>
      </w:pPr>
      <w:bookmarkStart w:id="1" w:name="_Hlk82687512"/>
      <w:r>
        <w:t>Bundesministerium für Klimaschutz, Umwelt, Energie, Mobilität, Innovation und Technologie</w:t>
      </w:r>
      <w:r>
        <w:br/>
      </w:r>
      <w:r>
        <w:rPr>
          <w:lang w:val="de-AT"/>
        </w:rPr>
        <w:t>Florian Berger</w:t>
      </w:r>
      <w:r w:rsidRPr="00351E3D">
        <w:rPr>
          <w:lang w:val="de-AT"/>
        </w:rPr>
        <w:br/>
        <w:t>+43/1/</w:t>
      </w:r>
      <w:r>
        <w:rPr>
          <w:lang w:val="de-AT"/>
        </w:rPr>
        <w:t>7116662</w:t>
      </w:r>
      <w:r w:rsidRPr="00351E3D">
        <w:rPr>
          <w:lang w:val="de-AT"/>
        </w:rPr>
        <w:t xml:space="preserve"> </w:t>
      </w:r>
      <w:r>
        <w:rPr>
          <w:lang w:val="de-AT"/>
        </w:rPr>
        <w:t>658010</w:t>
      </w:r>
      <w:r w:rsidRPr="00351E3D">
        <w:rPr>
          <w:lang w:val="de-AT"/>
        </w:rPr>
        <w:br/>
      </w:r>
      <w:hyperlink r:id="rId10" w:history="1">
        <w:r w:rsidRPr="00C637BD">
          <w:rPr>
            <w:rStyle w:val="Hyperlink"/>
          </w:rPr>
          <w:t>florian.berger@bmk.gv.at</w:t>
        </w:r>
        <w:r w:rsidRPr="00C637BD">
          <w:rPr>
            <w:rStyle w:val="Hyperlink"/>
          </w:rPr>
          <w:br/>
        </w:r>
      </w:hyperlink>
      <w:hyperlink r:id="rId11" w:history="1">
        <w:r w:rsidR="00D777EA" w:rsidRPr="00C637BD">
          <w:rPr>
            <w:rStyle w:val="Hyperlink"/>
            <w:lang w:val="de-AT"/>
          </w:rPr>
          <w:t>www.bmk.gv.at</w:t>
        </w:r>
      </w:hyperlink>
    </w:p>
    <w:bookmarkEnd w:id="1"/>
    <w:p w14:paraId="5D195403" w14:textId="088DF102" w:rsidR="00232CE8" w:rsidRDefault="00351E3D" w:rsidP="00232CE8">
      <w:pPr>
        <w:pStyle w:val="TextBarrierefrei"/>
        <w:rPr>
          <w:rStyle w:val="Hyperlink"/>
          <w:lang w:val="de-AT"/>
        </w:rPr>
      </w:pPr>
      <w:r>
        <w:t>Klima- und Energiefonds</w:t>
      </w:r>
      <w:r w:rsidR="00BA4EEB">
        <w:br/>
      </w:r>
      <w:r w:rsidR="00232CE8" w:rsidRPr="00351E3D">
        <w:rPr>
          <w:lang w:val="de-AT"/>
        </w:rPr>
        <w:t>Katja Hoyer</w:t>
      </w:r>
      <w:r w:rsidR="00232CE8" w:rsidRPr="00351E3D">
        <w:rPr>
          <w:lang w:val="de-AT"/>
        </w:rPr>
        <w:br/>
        <w:t>+43/1/585 03 90-23</w:t>
      </w:r>
      <w:r w:rsidR="00232CE8" w:rsidRPr="00351E3D">
        <w:rPr>
          <w:lang w:val="de-AT"/>
        </w:rPr>
        <w:br/>
      </w:r>
      <w:hyperlink r:id="rId12" w:tooltip="Mail-Adresse von Katja Hoyer" w:history="1">
        <w:r w:rsidRPr="00BA4EEB">
          <w:rPr>
            <w:rStyle w:val="Hyperlink"/>
          </w:rPr>
          <w:t>katja.hoyer@klimafonds.gv.at</w:t>
        </w:r>
        <w:r w:rsidR="00BA4EEB" w:rsidRPr="00BA4EEB">
          <w:rPr>
            <w:rStyle w:val="Hyperlink"/>
          </w:rPr>
          <w:br/>
        </w:r>
      </w:hyperlink>
      <w:hyperlink r:id="rId13" w:tooltip="Klima- und Energiefonds Website" w:history="1">
        <w:r w:rsidR="00232CE8" w:rsidRPr="00BA4EEB">
          <w:rPr>
            <w:rStyle w:val="Hyperlink"/>
            <w:lang w:val="de-AT"/>
          </w:rPr>
          <w:t>www.klimafonds.gv.at</w:t>
        </w:r>
      </w:hyperlink>
    </w:p>
    <w:p w14:paraId="2FB8EBE8" w14:textId="77777777" w:rsidR="000173D9" w:rsidRDefault="000173D9" w:rsidP="00232CE8">
      <w:pPr>
        <w:pStyle w:val="TextBarrierefrei"/>
        <w:rPr>
          <w:rStyle w:val="Hyperlink"/>
          <w:lang w:val="de-AT"/>
        </w:rPr>
      </w:pPr>
    </w:p>
    <w:p w14:paraId="643EDD93" w14:textId="77777777" w:rsidR="000173D9" w:rsidRPr="000173D9" w:rsidRDefault="000173D9" w:rsidP="000173D9">
      <w:pPr>
        <w:pStyle w:val="TextBarrierefrei"/>
        <w:rPr>
          <w:color w:val="262626" w:themeColor="text1" w:themeTint="D9"/>
          <w:sz w:val="18"/>
          <w:szCs w:val="18"/>
        </w:rPr>
      </w:pPr>
      <w:r w:rsidRPr="00484072">
        <w:rPr>
          <w:sz w:val="18"/>
          <w:szCs w:val="18"/>
        </w:rPr>
        <w:t xml:space="preserve">Weitere Neuigkeiten und Videos rund um den Klima- und Energiefonds finden Sie auf </w:t>
      </w:r>
      <w:hyperlink r:id="rId14" w:tgtFrame="_blank" w:tooltip="Twitter-Account des Klima- und Energiefonds" w:history="1">
        <w:r w:rsidRPr="00484072">
          <w:rPr>
            <w:rStyle w:val="Hyperlink"/>
            <w:color w:val="auto"/>
            <w:sz w:val="18"/>
            <w:szCs w:val="18"/>
          </w:rPr>
          <w:t>Twitter</w:t>
        </w:r>
      </w:hyperlink>
      <w:r w:rsidR="00484072" w:rsidRPr="00484072">
        <w:rPr>
          <w:rStyle w:val="Hyperlink"/>
          <w:color w:val="auto"/>
          <w:sz w:val="18"/>
          <w:szCs w:val="18"/>
        </w:rPr>
        <w:t xml:space="preserve">, </w:t>
      </w:r>
      <w:hyperlink r:id="rId15" w:tooltip="Instagram-Account des Klima- und Energiefonds" w:history="1">
        <w:r w:rsidR="00484072" w:rsidRPr="00484072">
          <w:rPr>
            <w:rStyle w:val="Hyperlink"/>
            <w:color w:val="auto"/>
            <w:sz w:val="18"/>
            <w:szCs w:val="18"/>
          </w:rPr>
          <w:t>Instagram</w:t>
        </w:r>
      </w:hyperlink>
      <w:r w:rsidRPr="00484072">
        <w:rPr>
          <w:sz w:val="18"/>
          <w:szCs w:val="18"/>
        </w:rPr>
        <w:t xml:space="preserve"> und </w:t>
      </w:r>
      <w:hyperlink r:id="rId16" w:tgtFrame="_blank" w:tooltip="Youtube-Account des Klima- und Energiefonds" w:history="1">
        <w:r w:rsidRPr="000173D9">
          <w:rPr>
            <w:rStyle w:val="Hyperlink"/>
            <w:color w:val="262626" w:themeColor="text1" w:themeTint="D9"/>
            <w:sz w:val="18"/>
            <w:szCs w:val="18"/>
          </w:rPr>
          <w:t>YouTube</w:t>
        </w:r>
      </w:hyperlink>
      <w:r w:rsidRPr="000173D9">
        <w:rPr>
          <w:color w:val="262626" w:themeColor="text1" w:themeTint="D9"/>
          <w:sz w:val="18"/>
          <w:szCs w:val="18"/>
        </w:rPr>
        <w:t xml:space="preserve">. </w:t>
      </w:r>
    </w:p>
    <w:bookmarkEnd w:id="0"/>
    <w:p w14:paraId="5AC73661" w14:textId="77777777" w:rsidR="000173D9" w:rsidRPr="00BA4EEB" w:rsidRDefault="000173D9" w:rsidP="000173D9">
      <w:pPr>
        <w:pStyle w:val="TextBarrierefrei"/>
      </w:pPr>
    </w:p>
    <w:sectPr w:rsidR="000173D9" w:rsidRPr="00BA4EEB" w:rsidSect="000173D9">
      <w:headerReference w:type="default" r:id="rId17"/>
      <w:footerReference w:type="default" r:id="rId18"/>
      <w:pgSz w:w="11900" w:h="16840"/>
      <w:pgMar w:top="1418" w:right="1412" w:bottom="1134"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8A0A" w14:textId="77777777" w:rsidR="00EC308B" w:rsidRDefault="00EC308B" w:rsidP="00994104">
      <w:r>
        <w:separator/>
      </w:r>
    </w:p>
  </w:endnote>
  <w:endnote w:type="continuationSeparator" w:id="0">
    <w:p w14:paraId="5A717C4A" w14:textId="77777777" w:rsidR="00EC308B" w:rsidRDefault="00EC308B"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7514" w14:textId="77777777" w:rsidR="00994104" w:rsidRPr="00E924D0" w:rsidRDefault="0041235C" w:rsidP="000173D9">
    <w:pPr>
      <w:pStyle w:val="FuzeileBarrierefrei"/>
      <w:jc w:val="right"/>
    </w:pPr>
    <w:r w:rsidRPr="00E924D0">
      <w:fldChar w:fldCharType="begin"/>
    </w:r>
    <w:r w:rsidRPr="00E924D0">
      <w:instrText>PAGE   \* MERGEFORMAT</w:instrText>
    </w:r>
    <w:r w:rsidRPr="00E924D0">
      <w:fldChar w:fldCharType="separate"/>
    </w:r>
    <w:r w:rsidR="002650B9">
      <w:rPr>
        <w:noProof/>
      </w:rPr>
      <w:t>2</w:t>
    </w:r>
    <w:r w:rsidRPr="00E924D0">
      <w:fldChar w:fldCharType="end"/>
    </w:r>
    <w:r w:rsidRPr="00E924D0">
      <w:t>/</w:t>
    </w:r>
    <w:r w:rsidR="00684522">
      <w:rPr>
        <w:noProof/>
      </w:rPr>
      <w:fldChar w:fldCharType="begin"/>
    </w:r>
    <w:r w:rsidR="00684522">
      <w:rPr>
        <w:noProof/>
      </w:rPr>
      <w:instrText xml:space="preserve"> NUMPAGES  \* Arabic  \* MERGEFORMAT </w:instrText>
    </w:r>
    <w:r w:rsidR="00684522">
      <w:rPr>
        <w:noProof/>
      </w:rPr>
      <w:fldChar w:fldCharType="separate"/>
    </w:r>
    <w:r w:rsidR="002650B9">
      <w:rPr>
        <w:noProof/>
      </w:rPr>
      <w:t>2</w:t>
    </w:r>
    <w:r w:rsidR="0068452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66C1" w14:textId="77777777" w:rsidR="00EC308B" w:rsidRDefault="00EC308B" w:rsidP="00994104">
      <w:r>
        <w:separator/>
      </w:r>
    </w:p>
  </w:footnote>
  <w:footnote w:type="continuationSeparator" w:id="0">
    <w:p w14:paraId="21E11B13" w14:textId="77777777" w:rsidR="00EC308B" w:rsidRDefault="00EC308B"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93DC" w14:textId="617476D9" w:rsidR="009D16EA" w:rsidRDefault="00783B1E" w:rsidP="004A17DD">
    <w:pPr>
      <w:pStyle w:val="TextBarrierefrei"/>
    </w:pPr>
    <w:r>
      <w:rPr>
        <w:noProof/>
      </w:rPr>
      <w:drawing>
        <wp:anchor distT="0" distB="0" distL="114300" distR="114300" simplePos="0" relativeHeight="251661312" behindDoc="1" locked="0" layoutInCell="1" allowOverlap="1" wp14:anchorId="4C005DB7" wp14:editId="2A8C3DF8">
          <wp:simplePos x="0" y="0"/>
          <wp:positionH relativeFrom="column">
            <wp:posOffset>2310130</wp:posOffset>
          </wp:positionH>
          <wp:positionV relativeFrom="paragraph">
            <wp:posOffset>-174625</wp:posOffset>
          </wp:positionV>
          <wp:extent cx="1656080" cy="525145"/>
          <wp:effectExtent l="0" t="0" r="1270" b="8255"/>
          <wp:wrapTight wrapText="bothSides">
            <wp:wrapPolygon edited="0">
              <wp:start x="0" y="0"/>
              <wp:lineTo x="0" y="21156"/>
              <wp:lineTo x="21368" y="21156"/>
              <wp:lineTo x="21368"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56080" cy="525145"/>
                  </a:xfrm>
                  <a:prstGeom prst="rect">
                    <a:avLst/>
                  </a:prstGeom>
                </pic:spPr>
              </pic:pic>
            </a:graphicData>
          </a:graphic>
          <wp14:sizeRelH relativeFrom="margin">
            <wp14:pctWidth>0</wp14:pctWidth>
          </wp14:sizeRelH>
          <wp14:sizeRelV relativeFrom="margin">
            <wp14:pctHeight>0</wp14:pctHeight>
          </wp14:sizeRelV>
        </wp:anchor>
      </w:drawing>
    </w:r>
    <w:r w:rsidR="008E0ED9">
      <w:rPr>
        <w:noProof/>
      </w:rPr>
      <w:drawing>
        <wp:anchor distT="0" distB="0" distL="114300" distR="114300" simplePos="0" relativeHeight="251659264" behindDoc="0" locked="0" layoutInCell="1" allowOverlap="1" wp14:anchorId="449E8C55" wp14:editId="2C8B0716">
          <wp:simplePos x="0" y="0"/>
          <wp:positionH relativeFrom="column">
            <wp:posOffset>3953510</wp:posOffset>
          </wp:positionH>
          <wp:positionV relativeFrom="paragraph">
            <wp:posOffset>-174625</wp:posOffset>
          </wp:positionV>
          <wp:extent cx="1505273" cy="541020"/>
          <wp:effectExtent l="0" t="0" r="0" b="0"/>
          <wp:wrapThrough wrapText="bothSides">
            <wp:wrapPolygon edited="0">
              <wp:start x="273" y="761"/>
              <wp:lineTo x="273" y="7606"/>
              <wp:lineTo x="3281" y="14451"/>
              <wp:lineTo x="2734" y="15211"/>
              <wp:lineTo x="3008" y="19014"/>
              <wp:lineTo x="18319" y="20535"/>
              <wp:lineTo x="19413" y="20535"/>
              <wp:lineTo x="21053" y="18254"/>
              <wp:lineTo x="20506" y="15211"/>
              <wp:lineTo x="15311" y="14451"/>
              <wp:lineTo x="16952" y="9887"/>
              <wp:lineTo x="16405" y="3042"/>
              <wp:lineTo x="13944" y="761"/>
              <wp:lineTo x="273" y="761"/>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273"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522">
      <w:rPr>
        <w:noProof/>
        <w:lang w:val="de-AT" w:eastAsia="de-AT"/>
      </w:rPr>
      <w:drawing>
        <wp:anchor distT="0" distB="0" distL="114300" distR="114300" simplePos="0" relativeHeight="251658240" behindDoc="1" locked="0" layoutInCell="1" allowOverlap="1" wp14:anchorId="6E47299E" wp14:editId="3B14851D">
          <wp:simplePos x="0" y="0"/>
          <wp:positionH relativeFrom="rightMargin">
            <wp:posOffset>-216205</wp:posOffset>
          </wp:positionH>
          <wp:positionV relativeFrom="page">
            <wp:posOffset>360045</wp:posOffset>
          </wp:positionV>
          <wp:extent cx="629920" cy="539750"/>
          <wp:effectExtent l="0" t="0" r="0" b="0"/>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2992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A4A5FBF"/>
    <w:multiLevelType w:val="hybridMultilevel"/>
    <w:tmpl w:val="2F0C3EB8"/>
    <w:lvl w:ilvl="0" w:tplc="1A2C7A6E">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F6E11FA"/>
    <w:multiLevelType w:val="multilevel"/>
    <w:tmpl w:val="9BB4D188"/>
    <w:numStyleLink w:val="NummerierungBarrierefrei"/>
  </w:abstractNum>
  <w:abstractNum w:abstractNumId="5"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8" w15:restartNumberingAfterBreak="0">
    <w:nsid w:val="687F2821"/>
    <w:multiLevelType w:val="multilevel"/>
    <w:tmpl w:val="72C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5D2282"/>
    <w:multiLevelType w:val="multilevel"/>
    <w:tmpl w:val="0410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64DBE"/>
    <w:multiLevelType w:val="multilevel"/>
    <w:tmpl w:val="858C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3"/>
  </w:num>
  <w:num w:numId="5">
    <w:abstractNumId w:val="5"/>
  </w:num>
  <w:num w:numId="6">
    <w:abstractNumId w:val="4"/>
  </w:num>
  <w:num w:numId="7">
    <w:abstractNumId w:val="6"/>
  </w:num>
  <w:num w:numId="8">
    <w:abstractNumId w:val="9"/>
  </w:num>
  <w:num w:numId="9">
    <w:abstractNumId w:val="8"/>
  </w:num>
  <w:num w:numId="10">
    <w:abstractNumId w:val="10"/>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AT" w:vendorID="64" w:dllVersion="0" w:nlCheck="1" w:checkStyle="0"/>
  <w:activeWritingStyle w:appName="MSWord" w:lang="de-DE" w:vendorID="64" w:dllVersion="4096" w:nlCheck="1" w:checkStyle="0"/>
  <w:activeWritingStyle w:appName="MSWord" w:lang="de-AT"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84"/>
    <w:rsid w:val="00014644"/>
    <w:rsid w:val="000173D9"/>
    <w:rsid w:val="0002468F"/>
    <w:rsid w:val="00026F47"/>
    <w:rsid w:val="00035625"/>
    <w:rsid w:val="0004070A"/>
    <w:rsid w:val="00072919"/>
    <w:rsid w:val="00091E72"/>
    <w:rsid w:val="000A1D5F"/>
    <w:rsid w:val="000A3FCC"/>
    <w:rsid w:val="000C688D"/>
    <w:rsid w:val="000E78E9"/>
    <w:rsid w:val="0010617E"/>
    <w:rsid w:val="00110F71"/>
    <w:rsid w:val="0016097F"/>
    <w:rsid w:val="001802A0"/>
    <w:rsid w:val="001943D8"/>
    <w:rsid w:val="001953A1"/>
    <w:rsid w:val="0019667F"/>
    <w:rsid w:val="001B3693"/>
    <w:rsid w:val="001F272C"/>
    <w:rsid w:val="001F3362"/>
    <w:rsid w:val="00223A2C"/>
    <w:rsid w:val="00223A90"/>
    <w:rsid w:val="00232CE8"/>
    <w:rsid w:val="00260C8A"/>
    <w:rsid w:val="002650B9"/>
    <w:rsid w:val="00275C9C"/>
    <w:rsid w:val="002829E4"/>
    <w:rsid w:val="00282F01"/>
    <w:rsid w:val="002B189C"/>
    <w:rsid w:val="002C2E1F"/>
    <w:rsid w:val="002E35F3"/>
    <w:rsid w:val="002E4857"/>
    <w:rsid w:val="002E7378"/>
    <w:rsid w:val="0031290A"/>
    <w:rsid w:val="003157B3"/>
    <w:rsid w:val="00315E4A"/>
    <w:rsid w:val="003168AF"/>
    <w:rsid w:val="00317D5A"/>
    <w:rsid w:val="00351E3D"/>
    <w:rsid w:val="003630C9"/>
    <w:rsid w:val="0038020E"/>
    <w:rsid w:val="003863B2"/>
    <w:rsid w:val="003B24AE"/>
    <w:rsid w:val="003B3740"/>
    <w:rsid w:val="003C11F7"/>
    <w:rsid w:val="003D3A54"/>
    <w:rsid w:val="003E0EE1"/>
    <w:rsid w:val="0041235C"/>
    <w:rsid w:val="004173F8"/>
    <w:rsid w:val="00435915"/>
    <w:rsid w:val="00455984"/>
    <w:rsid w:val="00462527"/>
    <w:rsid w:val="004779AB"/>
    <w:rsid w:val="00484072"/>
    <w:rsid w:val="004A02DC"/>
    <w:rsid w:val="004A17DD"/>
    <w:rsid w:val="004C07D7"/>
    <w:rsid w:val="004C2CCC"/>
    <w:rsid w:val="004D6EC5"/>
    <w:rsid w:val="004E2083"/>
    <w:rsid w:val="004E5B6F"/>
    <w:rsid w:val="004F39DD"/>
    <w:rsid w:val="0052112C"/>
    <w:rsid w:val="005369BF"/>
    <w:rsid w:val="00564C44"/>
    <w:rsid w:val="00570BB1"/>
    <w:rsid w:val="00591183"/>
    <w:rsid w:val="00595401"/>
    <w:rsid w:val="005C418E"/>
    <w:rsid w:val="005D6063"/>
    <w:rsid w:val="005E3997"/>
    <w:rsid w:val="005F1CAA"/>
    <w:rsid w:val="005F22A4"/>
    <w:rsid w:val="00612FEF"/>
    <w:rsid w:val="00616E64"/>
    <w:rsid w:val="00652FD4"/>
    <w:rsid w:val="0065406C"/>
    <w:rsid w:val="00674DA4"/>
    <w:rsid w:val="00684522"/>
    <w:rsid w:val="00697D9F"/>
    <w:rsid w:val="006F6C0C"/>
    <w:rsid w:val="006F734C"/>
    <w:rsid w:val="00700937"/>
    <w:rsid w:val="00724F19"/>
    <w:rsid w:val="00726F43"/>
    <w:rsid w:val="0076321F"/>
    <w:rsid w:val="00774940"/>
    <w:rsid w:val="00783B1E"/>
    <w:rsid w:val="00787177"/>
    <w:rsid w:val="007B1A00"/>
    <w:rsid w:val="007B1AF2"/>
    <w:rsid w:val="007C3BEE"/>
    <w:rsid w:val="007D1F29"/>
    <w:rsid w:val="007D4A7D"/>
    <w:rsid w:val="00831A07"/>
    <w:rsid w:val="00841943"/>
    <w:rsid w:val="0085408B"/>
    <w:rsid w:val="00881590"/>
    <w:rsid w:val="0088655B"/>
    <w:rsid w:val="008B47F1"/>
    <w:rsid w:val="008B4C7F"/>
    <w:rsid w:val="008B6E37"/>
    <w:rsid w:val="008B7C03"/>
    <w:rsid w:val="008D65A4"/>
    <w:rsid w:val="008E0ED9"/>
    <w:rsid w:val="008E3858"/>
    <w:rsid w:val="008E57C4"/>
    <w:rsid w:val="008F6E25"/>
    <w:rsid w:val="009227BF"/>
    <w:rsid w:val="00956626"/>
    <w:rsid w:val="00975DEB"/>
    <w:rsid w:val="00983858"/>
    <w:rsid w:val="00994104"/>
    <w:rsid w:val="009B2E8D"/>
    <w:rsid w:val="009B600A"/>
    <w:rsid w:val="009C013B"/>
    <w:rsid w:val="009C7F6F"/>
    <w:rsid w:val="009D16EA"/>
    <w:rsid w:val="009E38B6"/>
    <w:rsid w:val="00A04232"/>
    <w:rsid w:val="00A0661B"/>
    <w:rsid w:val="00A11086"/>
    <w:rsid w:val="00A26CAC"/>
    <w:rsid w:val="00A478AB"/>
    <w:rsid w:val="00A62DB7"/>
    <w:rsid w:val="00A656AD"/>
    <w:rsid w:val="00A6789A"/>
    <w:rsid w:val="00A71970"/>
    <w:rsid w:val="00A8611D"/>
    <w:rsid w:val="00AB1912"/>
    <w:rsid w:val="00AB282B"/>
    <w:rsid w:val="00AE7334"/>
    <w:rsid w:val="00B3577B"/>
    <w:rsid w:val="00B52EA1"/>
    <w:rsid w:val="00B5543C"/>
    <w:rsid w:val="00B5640C"/>
    <w:rsid w:val="00B713AC"/>
    <w:rsid w:val="00B7381E"/>
    <w:rsid w:val="00BA4EEB"/>
    <w:rsid w:val="00BF4987"/>
    <w:rsid w:val="00C05E66"/>
    <w:rsid w:val="00C276EF"/>
    <w:rsid w:val="00C33DC3"/>
    <w:rsid w:val="00C40722"/>
    <w:rsid w:val="00C616A3"/>
    <w:rsid w:val="00C633BF"/>
    <w:rsid w:val="00C83F1A"/>
    <w:rsid w:val="00C86EB9"/>
    <w:rsid w:val="00C907EC"/>
    <w:rsid w:val="00CB3F9E"/>
    <w:rsid w:val="00CC5DB7"/>
    <w:rsid w:val="00CD092B"/>
    <w:rsid w:val="00D16AC8"/>
    <w:rsid w:val="00D2284F"/>
    <w:rsid w:val="00D434CD"/>
    <w:rsid w:val="00D45359"/>
    <w:rsid w:val="00D455A3"/>
    <w:rsid w:val="00D777EA"/>
    <w:rsid w:val="00D80D1B"/>
    <w:rsid w:val="00DC2754"/>
    <w:rsid w:val="00DC27BF"/>
    <w:rsid w:val="00DC3EDF"/>
    <w:rsid w:val="00DF1D95"/>
    <w:rsid w:val="00DF33B7"/>
    <w:rsid w:val="00E07B2F"/>
    <w:rsid w:val="00E42699"/>
    <w:rsid w:val="00E44113"/>
    <w:rsid w:val="00E7349E"/>
    <w:rsid w:val="00E82E3F"/>
    <w:rsid w:val="00E872F0"/>
    <w:rsid w:val="00E924D0"/>
    <w:rsid w:val="00EC308B"/>
    <w:rsid w:val="00EE2B2A"/>
    <w:rsid w:val="00EE46E8"/>
    <w:rsid w:val="00EF45D2"/>
    <w:rsid w:val="00F004BD"/>
    <w:rsid w:val="00F03B33"/>
    <w:rsid w:val="00F13D61"/>
    <w:rsid w:val="00F26E5B"/>
    <w:rsid w:val="00F548F2"/>
    <w:rsid w:val="00F55E1F"/>
    <w:rsid w:val="00F77A18"/>
    <w:rsid w:val="00F809F9"/>
    <w:rsid w:val="00F80B79"/>
    <w:rsid w:val="00F831D8"/>
    <w:rsid w:val="00FA2C4D"/>
    <w:rsid w:val="00FD1D10"/>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9DC557"/>
  <w14:defaultImageDpi w14:val="32767"/>
  <w15:chartTrackingRefBased/>
  <w15:docId w15:val="{24CB9704-BBF6-4428-8493-206D20C8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455984"/>
    <w:pPr>
      <w:spacing w:after="160" w:line="259" w:lineRule="auto"/>
    </w:pPr>
    <w:rPr>
      <w:sz w:val="22"/>
      <w:szCs w:val="22"/>
      <w:lang w:val="de-AT"/>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jc w:val="both"/>
    </w:pPr>
    <w:rPr>
      <w:rFonts w:ascii="Calibri" w:eastAsia="Times" w:hAnsi="Calibri" w:cs="Times New Roman"/>
      <w:szCs w:val="20"/>
      <w:lang w:eastAsia="de-DE"/>
    </w:rPr>
  </w:style>
  <w:style w:type="paragraph" w:customStyle="1" w:styleId="berschrift10">
    <w:name w:val="Überschrift1"/>
    <w:basedOn w:val="Standard"/>
    <w:rsid w:val="0088655B"/>
    <w:pPr>
      <w:spacing w:before="480" w:after="120"/>
    </w:pPr>
    <w:rPr>
      <w:rFonts w:ascii="Calibri Light" w:eastAsia="Times" w:hAnsi="Calibri Light" w:cs="Times New Roman"/>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s="Times New Roman"/>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s="Times New Roman"/>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paragraph" w:styleId="Beschriftung">
    <w:name w:val="caption"/>
    <w:basedOn w:val="Standard"/>
    <w:next w:val="Standard"/>
    <w:uiPriority w:val="35"/>
    <w:unhideWhenUsed/>
    <w:qFormat/>
    <w:rsid w:val="00DC2754"/>
    <w:pPr>
      <w:spacing w:after="200"/>
    </w:pPr>
    <w:rPr>
      <w:i/>
      <w:iCs/>
      <w:color w:val="44546A" w:themeColor="text2"/>
      <w:sz w:val="18"/>
      <w:szCs w:val="18"/>
    </w:rPr>
  </w:style>
  <w:style w:type="paragraph" w:customStyle="1" w:styleId="BeschriftungBarrierefrei">
    <w:name w:val="Beschriftung Barrierefrei"/>
    <w:basedOn w:val="TextBarrierefrei"/>
    <w:qFormat/>
    <w:rsid w:val="00EE2B2A"/>
    <w:rPr>
      <w:i/>
      <w:sz w:val="20"/>
    </w:rPr>
  </w:style>
  <w:style w:type="character" w:styleId="Erwhnung">
    <w:name w:val="Mention"/>
    <w:basedOn w:val="Absatz-Standardschriftart"/>
    <w:uiPriority w:val="99"/>
    <w:semiHidden/>
    <w:unhideWhenUsed/>
    <w:rsid w:val="00351E3D"/>
    <w:rPr>
      <w:color w:val="2B579A"/>
      <w:shd w:val="clear" w:color="auto" w:fill="E6E6E6"/>
    </w:rPr>
  </w:style>
  <w:style w:type="character" w:styleId="NichtaufgelsteErwhnung">
    <w:name w:val="Unresolved Mention"/>
    <w:basedOn w:val="Absatz-Standardschriftart"/>
    <w:uiPriority w:val="99"/>
    <w:semiHidden/>
    <w:unhideWhenUsed/>
    <w:rsid w:val="00484072"/>
    <w:rPr>
      <w:color w:val="605E5C"/>
      <w:shd w:val="clear" w:color="auto" w:fill="E1DFDD"/>
    </w:rPr>
  </w:style>
  <w:style w:type="character" w:styleId="Kommentarzeichen">
    <w:name w:val="annotation reference"/>
    <w:basedOn w:val="Absatz-Standardschriftart"/>
    <w:uiPriority w:val="99"/>
    <w:semiHidden/>
    <w:unhideWhenUsed/>
    <w:rsid w:val="00091E72"/>
    <w:rPr>
      <w:sz w:val="16"/>
      <w:szCs w:val="16"/>
    </w:rPr>
  </w:style>
  <w:style w:type="paragraph" w:styleId="Kommentartext">
    <w:name w:val="annotation text"/>
    <w:basedOn w:val="Standard"/>
    <w:link w:val="KommentartextZchn"/>
    <w:uiPriority w:val="99"/>
    <w:semiHidden/>
    <w:unhideWhenUsed/>
    <w:rsid w:val="00091E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1E72"/>
    <w:rPr>
      <w:sz w:val="20"/>
      <w:szCs w:val="20"/>
      <w:lang w:val="de-AT"/>
    </w:rPr>
  </w:style>
  <w:style w:type="paragraph" w:styleId="Kommentarthema">
    <w:name w:val="annotation subject"/>
    <w:basedOn w:val="Kommentartext"/>
    <w:next w:val="Kommentartext"/>
    <w:link w:val="KommentarthemaZchn"/>
    <w:uiPriority w:val="99"/>
    <w:semiHidden/>
    <w:unhideWhenUsed/>
    <w:rsid w:val="00091E72"/>
    <w:rPr>
      <w:b/>
      <w:bCs/>
    </w:rPr>
  </w:style>
  <w:style w:type="character" w:customStyle="1" w:styleId="KommentarthemaZchn">
    <w:name w:val="Kommentarthema Zchn"/>
    <w:basedOn w:val="KommentartextZchn"/>
    <w:link w:val="Kommentarthema"/>
    <w:uiPriority w:val="99"/>
    <w:semiHidden/>
    <w:rsid w:val="00091E72"/>
    <w:rPr>
      <w:b/>
      <w:bCs/>
      <w:sz w:val="20"/>
      <w:szCs w:val="20"/>
      <w:lang w:val="de-AT"/>
    </w:rPr>
  </w:style>
  <w:style w:type="paragraph" w:styleId="Sprechblasentext">
    <w:name w:val="Balloon Text"/>
    <w:basedOn w:val="Standard"/>
    <w:link w:val="SprechblasentextZchn"/>
    <w:uiPriority w:val="99"/>
    <w:semiHidden/>
    <w:unhideWhenUsed/>
    <w:rsid w:val="00091E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E72"/>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184323443">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367485017">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935941477">
      <w:bodyDiv w:val="1"/>
      <w:marLeft w:val="0"/>
      <w:marRight w:val="0"/>
      <w:marTop w:val="0"/>
      <w:marBottom w:val="0"/>
      <w:divBdr>
        <w:top w:val="none" w:sz="0" w:space="0" w:color="auto"/>
        <w:left w:val="none" w:sz="0" w:space="0" w:color="auto"/>
        <w:bottom w:val="none" w:sz="0" w:space="0" w:color="auto"/>
        <w:right w:val="none" w:sz="0" w:space="0" w:color="auto"/>
      </w:divBdr>
    </w:div>
    <w:div w:id="1962150544">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gemeinschaften.gv.at" TargetMode="External"/><Relationship Id="rId13" Type="http://schemas.openxmlformats.org/officeDocument/2006/relationships/hyperlink" Target="http://www.klimafonds.gv.a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ja.hoyer@klimafonds.gv.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klimafonds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k.gv.at" TargetMode="External"/><Relationship Id="rId5" Type="http://schemas.openxmlformats.org/officeDocument/2006/relationships/webSettings" Target="webSettings.xml"/><Relationship Id="rId15" Type="http://schemas.openxmlformats.org/officeDocument/2006/relationships/hyperlink" Target="https://www.instagram.com/klimafonds/" TargetMode="External"/><Relationship Id="rId10" Type="http://schemas.openxmlformats.org/officeDocument/2006/relationships/hyperlink" Target="mailto:florian.berger@bmk.gv.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mwelt@kommunalkredit.at" TargetMode="External"/><Relationship Id="rId14" Type="http://schemas.openxmlformats.org/officeDocument/2006/relationships/hyperlink" Target="https://twitter.com/klimafond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ves\Vorlagen\Office-Vorlagen\Presseaussendung.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C02BCF-CE39-4CCF-9E61-5980931A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Presseaussendung.dotx</Template>
  <TotalTime>0</TotalTime>
  <Pages>4</Pages>
  <Words>988</Words>
  <Characters>6227</Characters>
  <Application>Microsoft Office Word</Application>
  <DocSecurity>0</DocSecurity>
  <Lines>51</Lines>
  <Paragraphs>14</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Presseaussendung Klima- und Energiefonds</vt:lpstr>
      <vt:lpstr>Schwerpunkte der Ausschreibung</vt:lpstr>
      <vt:lpstr>Hintergrundinformation</vt:lpstr>
      <vt:lpstr>    Weitere Informationen</vt:lpstr>
      <vt:lpstr>    Kontakt</vt:lpstr>
    </vt:vector>
  </TitlesOfParts>
  <Manager/>
  <Company/>
  <LinksUpToDate>false</LinksUpToDate>
  <CharactersWithSpaces>7201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Presseaussendung Klima- und Energiefonds</dc:title>
  <dc:subject/>
  <dc:creator>Katja Hoyer</dc:creator>
  <cp:keywords/>
  <dc:description/>
  <cp:lastModifiedBy>Oliver Sölkner</cp:lastModifiedBy>
  <cp:revision>4</cp:revision>
  <cp:lastPrinted>2021-09-16T10:34:00Z</cp:lastPrinted>
  <dcterms:created xsi:type="dcterms:W3CDTF">2021-09-16T10:17:00Z</dcterms:created>
  <dcterms:modified xsi:type="dcterms:W3CDTF">2021-09-16T10:34:00Z</dcterms:modified>
  <cp:category/>
</cp:coreProperties>
</file>